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8EFFB" w14:textId="738D7CD8" w:rsidR="00575DA6" w:rsidRPr="00575DA6" w:rsidRDefault="00575DA6" w:rsidP="0047786E">
      <w:pPr>
        <w:spacing w:before="240" w:after="0" w:line="240" w:lineRule="auto"/>
        <w:jc w:val="both"/>
        <w:rPr>
          <w:rFonts w:ascii="Arial" w:eastAsia="Arial" w:hAnsi="Arial" w:cs="Arial"/>
          <w:b/>
          <w:bCs/>
          <w:color w:val="000000"/>
          <w:sz w:val="20"/>
          <w:szCs w:val="20"/>
          <w:lang w:val="en-US"/>
        </w:rPr>
      </w:pPr>
      <w:r w:rsidRPr="00575DA6">
        <w:rPr>
          <w:rFonts w:ascii="Arial" w:eastAsia="Arial" w:hAnsi="Arial" w:cs="Arial"/>
          <w:b/>
          <w:bCs/>
          <w:color w:val="000000"/>
          <w:sz w:val="20"/>
          <w:szCs w:val="20"/>
          <w:lang w:val="en-US"/>
        </w:rPr>
        <w:t>Enhancing Dam Safety Governance through Risk Assessment: A Case Study from Mosaic Brazil</w:t>
      </w:r>
    </w:p>
    <w:p w14:paraId="7863CD21" w14:textId="77777777" w:rsidR="004E1FCF" w:rsidRDefault="00121784" w:rsidP="0047786E">
      <w:pPr>
        <w:spacing w:before="240" w:after="0" w:line="240" w:lineRule="auto"/>
        <w:jc w:val="both"/>
        <w:rPr>
          <w:rFonts w:ascii="Arial" w:eastAsia="Arial" w:hAnsi="Arial" w:cs="Arial"/>
          <w:b/>
          <w:bCs/>
          <w:color w:val="000000"/>
          <w:sz w:val="20"/>
          <w:szCs w:val="20"/>
        </w:rPr>
      </w:pPr>
      <w:r w:rsidRPr="00121784">
        <w:rPr>
          <w:rFonts w:ascii="Arial" w:eastAsia="Arial" w:hAnsi="Arial" w:cs="Arial"/>
          <w:color w:val="000000"/>
          <w:sz w:val="20"/>
          <w:szCs w:val="20"/>
          <w:lang w:val="en-US"/>
        </w:rPr>
        <w:t xml:space="preserve">Tailings Storage Facilities (TSFs) are critical structures in mining operations, requiring robust risk management to ensure safety and environmental protection. Mosaic Brazil has developed and implemented a tailored risk assessment framework based on Failure Mode and Effects Analysis (FMEA) to evaluate TSFs across its operations. The methodology follows a four-step process: (1) identification of potential failure modes, (2) analysis of likelihood and consequences, (3) assessment of existing and potential controls, and (4) evaluation of risk using a 5x7 Risk Assessment Matrix (RAM). The framework begins by determining whether a risk is physically possible and credible, supported by traceable justification. It incorporates discussions on control confidence and failure velocity, and concludes with an ALARP (As Low As Reasonably Practicable) evaluation. Since its implementation in 2022, the tool has </w:t>
      </w:r>
      <w:r>
        <w:rPr>
          <w:rFonts w:ascii="Arial" w:eastAsia="Arial" w:hAnsi="Arial" w:cs="Arial"/>
          <w:color w:val="000000"/>
          <w:sz w:val="20"/>
          <w:szCs w:val="20"/>
          <w:lang w:val="en-US"/>
        </w:rPr>
        <w:t>been f</w:t>
      </w:r>
      <w:r w:rsidRPr="00121784">
        <w:rPr>
          <w:rFonts w:ascii="Arial" w:eastAsia="Arial" w:hAnsi="Arial" w:cs="Arial"/>
          <w:color w:val="000000"/>
          <w:sz w:val="20"/>
          <w:szCs w:val="20"/>
          <w:lang w:val="en-US"/>
        </w:rPr>
        <w:t>acilitated</w:t>
      </w:r>
      <w:r>
        <w:rPr>
          <w:rFonts w:ascii="Arial" w:eastAsia="Arial" w:hAnsi="Arial" w:cs="Arial"/>
          <w:color w:val="000000"/>
          <w:sz w:val="20"/>
          <w:szCs w:val="20"/>
          <w:lang w:val="en-US"/>
        </w:rPr>
        <w:t xml:space="preserve"> by</w:t>
      </w:r>
      <w:r w:rsidRPr="00121784">
        <w:rPr>
          <w:rFonts w:ascii="Arial" w:eastAsia="Arial" w:hAnsi="Arial" w:cs="Arial"/>
          <w:color w:val="000000"/>
          <w:sz w:val="20"/>
          <w:szCs w:val="20"/>
          <w:lang w:val="en-US"/>
        </w:rPr>
        <w:t xml:space="preserve"> multidisciplinary collaboration and integration with key documents</w:t>
      </w:r>
      <w:r>
        <w:rPr>
          <w:rFonts w:ascii="Arial" w:eastAsia="Arial" w:hAnsi="Arial" w:cs="Arial"/>
          <w:color w:val="000000"/>
          <w:sz w:val="20"/>
          <w:szCs w:val="20"/>
          <w:lang w:val="en-US"/>
        </w:rPr>
        <w:t xml:space="preserve"> inside Mosaic Dam Safety Governance</w:t>
      </w:r>
      <w:r w:rsidRPr="00121784">
        <w:rPr>
          <w:rFonts w:ascii="Arial" w:eastAsia="Arial" w:hAnsi="Arial" w:cs="Arial"/>
          <w:color w:val="000000"/>
          <w:sz w:val="20"/>
          <w:szCs w:val="20"/>
          <w:lang w:val="en-US"/>
        </w:rPr>
        <w:t xml:space="preserve"> such as Trigger Action Response Plans (TARPs), Design Basis Reports (DBRs), Performance Reports, and Dam Safety Reviews (DSRs). This case study highlights the practical application of the framework and the lessons learned, offering valuable insights for organizations seeking to enhance dam safety governance through structured risk assessment.</w:t>
      </w:r>
      <w:r w:rsidR="004E1FCF">
        <w:rPr>
          <w:rFonts w:ascii="Arial" w:eastAsia="Arial" w:hAnsi="Arial" w:cs="Arial"/>
          <w:color w:val="000000"/>
          <w:sz w:val="20"/>
          <w:szCs w:val="20"/>
          <w:lang w:val="en-US"/>
        </w:rPr>
        <w:br/>
      </w:r>
      <w:r w:rsidR="004E1FCF">
        <w:rPr>
          <w:rFonts w:ascii="Arial" w:eastAsia="Arial" w:hAnsi="Arial" w:cs="Arial"/>
          <w:color w:val="000000"/>
          <w:sz w:val="20"/>
          <w:szCs w:val="20"/>
          <w:lang w:val="en-US"/>
        </w:rPr>
        <w:br/>
      </w:r>
      <w:r w:rsidR="004E1FCF">
        <w:rPr>
          <w:rFonts w:ascii="Arial" w:eastAsia="Arial" w:hAnsi="Arial" w:cs="Arial"/>
          <w:color w:val="000000"/>
          <w:sz w:val="20"/>
          <w:szCs w:val="20"/>
          <w:lang w:val="en-US"/>
        </w:rPr>
        <w:br/>
      </w:r>
      <w:r w:rsidR="004E1FCF" w:rsidRPr="004E1FCF">
        <w:rPr>
          <w:rFonts w:ascii="Arial" w:eastAsia="Arial" w:hAnsi="Arial" w:cs="Arial"/>
          <w:b/>
          <w:bCs/>
          <w:color w:val="000000"/>
          <w:sz w:val="20"/>
          <w:szCs w:val="20"/>
        </w:rPr>
        <w:t>Fortalecimiento de la Gobernanza de Seguridad de Presas mediante Evaluación de Riesgos: Estudio de Caso de Mosaic Brasil</w:t>
      </w:r>
    </w:p>
    <w:p w14:paraId="135534D4" w14:textId="2628E450" w:rsidR="00121784" w:rsidRPr="004E1FCF" w:rsidRDefault="004E1FCF" w:rsidP="0047786E">
      <w:pPr>
        <w:spacing w:before="240" w:after="0" w:line="240" w:lineRule="auto"/>
        <w:jc w:val="both"/>
        <w:rPr>
          <w:rFonts w:ascii="Arial" w:eastAsia="Arial" w:hAnsi="Arial" w:cs="Arial"/>
          <w:color w:val="000000"/>
          <w:sz w:val="20"/>
          <w:szCs w:val="20"/>
        </w:rPr>
      </w:pPr>
      <w:r w:rsidRPr="004E1FCF">
        <w:rPr>
          <w:rFonts w:ascii="Arial" w:eastAsia="Arial" w:hAnsi="Arial" w:cs="Arial"/>
          <w:color w:val="000000"/>
          <w:sz w:val="20"/>
          <w:szCs w:val="20"/>
        </w:rPr>
        <w:t>Las instalaciones de almacenamiento de relaves (TSF, por sus siglas en inglés) son estructuras críticas en las operaciones mineras, que requieren una gestión de riesgos robusta para garantizar la seguridad y la protección ambiental. Mosaic Brasil ha desarrollado e implementado un marco de evaluación de riesgos personalizado basado en el Análisis de Modo y Efecto de Falla (FMEA) para evaluar las TSF en todas sus operaciones. La metodología sigue un proceso de cuatro pasos: (1) identificación de modos de falla potenciales, (2) análisis de la probabilidad y las consecuencias, (3) evaluación de los controles existentes y potenciales, y (4) evaluación del riesgo utilizando una Matriz de Evaluación de Riesgos (RAM) de 5x7. El marco comienza determinando si un riesgo es físicamente posible y creíble, respaldado por una justificación trazable. Se incorporan discusiones sobre el nivel de confianza en los controles y la velocidad del mecanismo de falla, y concluye con una evaluación bajo el principio ALARP (Tan Bajo Como Sea Razonablemente Posible). Desde su implementación en 2022, la herramienta ha sido facilitada por la colaboración multidisciplinaria y la integración con documentos clave dentro de la gobernanza de seguridad de presas de Mosaic, como los Planes de Acción y Respuesta ante Disparadores (TARP), los Informes de Bases de Diseño (</w:t>
      </w:r>
      <w:r>
        <w:rPr>
          <w:rFonts w:ascii="Arial" w:eastAsia="Arial" w:hAnsi="Arial" w:cs="Arial"/>
          <w:color w:val="000000"/>
          <w:sz w:val="20"/>
          <w:szCs w:val="20"/>
        </w:rPr>
        <w:t>IBD</w:t>
      </w:r>
      <w:r w:rsidRPr="004E1FCF">
        <w:rPr>
          <w:rFonts w:ascii="Arial" w:eastAsia="Arial" w:hAnsi="Arial" w:cs="Arial"/>
          <w:color w:val="000000"/>
          <w:sz w:val="20"/>
          <w:szCs w:val="20"/>
        </w:rPr>
        <w:t>), los Informes de Desempeño y las Revisiones de Seguridad de Presas (</w:t>
      </w:r>
      <w:r w:rsidR="00F623FE">
        <w:rPr>
          <w:rFonts w:ascii="Arial" w:eastAsia="Arial" w:hAnsi="Arial" w:cs="Arial"/>
          <w:color w:val="000000"/>
          <w:sz w:val="20"/>
          <w:szCs w:val="20"/>
        </w:rPr>
        <w:t>R</w:t>
      </w:r>
      <w:r w:rsidRPr="004E1FCF">
        <w:rPr>
          <w:rFonts w:ascii="Arial" w:eastAsia="Arial" w:hAnsi="Arial" w:cs="Arial"/>
          <w:color w:val="000000"/>
          <w:sz w:val="20"/>
          <w:szCs w:val="20"/>
        </w:rPr>
        <w:t>S</w:t>
      </w:r>
      <w:r w:rsidR="00F623FE">
        <w:rPr>
          <w:rFonts w:ascii="Arial" w:eastAsia="Arial" w:hAnsi="Arial" w:cs="Arial"/>
          <w:color w:val="000000"/>
          <w:sz w:val="20"/>
          <w:szCs w:val="20"/>
        </w:rPr>
        <w:t>P</w:t>
      </w:r>
      <w:r w:rsidRPr="004E1FCF">
        <w:rPr>
          <w:rFonts w:ascii="Arial" w:eastAsia="Arial" w:hAnsi="Arial" w:cs="Arial"/>
          <w:color w:val="000000"/>
          <w:sz w:val="20"/>
          <w:szCs w:val="20"/>
        </w:rPr>
        <w:t>). Este estudio de caso destaca la aplicación práctica del marco y las lecciones aprendidas, ofreciendo valiosas perspectivas para organizaciones que buscan fortalecer la gobernanza de seguridad de presas mediante una evaluación estructurada de riesgos.</w:t>
      </w:r>
    </w:p>
    <w:sectPr w:rsidR="00121784" w:rsidRPr="004E1FC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CD0"/>
    <w:rsid w:val="00000903"/>
    <w:rsid w:val="000142E4"/>
    <w:rsid w:val="00017DF9"/>
    <w:rsid w:val="000270B3"/>
    <w:rsid w:val="00065696"/>
    <w:rsid w:val="00090661"/>
    <w:rsid w:val="000C194C"/>
    <w:rsid w:val="00121784"/>
    <w:rsid w:val="001277BC"/>
    <w:rsid w:val="00166758"/>
    <w:rsid w:val="001779BF"/>
    <w:rsid w:val="001E4265"/>
    <w:rsid w:val="00215B8A"/>
    <w:rsid w:val="0022664D"/>
    <w:rsid w:val="0022727C"/>
    <w:rsid w:val="00261CD2"/>
    <w:rsid w:val="002D1AD6"/>
    <w:rsid w:val="002D5F21"/>
    <w:rsid w:val="002F727A"/>
    <w:rsid w:val="003357E0"/>
    <w:rsid w:val="0035199A"/>
    <w:rsid w:val="003546A6"/>
    <w:rsid w:val="00437CD0"/>
    <w:rsid w:val="0047786E"/>
    <w:rsid w:val="004E1FCF"/>
    <w:rsid w:val="00503F1F"/>
    <w:rsid w:val="005512B4"/>
    <w:rsid w:val="00575DA6"/>
    <w:rsid w:val="005B0760"/>
    <w:rsid w:val="00654377"/>
    <w:rsid w:val="00665810"/>
    <w:rsid w:val="00692880"/>
    <w:rsid w:val="006A048B"/>
    <w:rsid w:val="006F1A58"/>
    <w:rsid w:val="00723E2D"/>
    <w:rsid w:val="00750555"/>
    <w:rsid w:val="007B2792"/>
    <w:rsid w:val="007F1447"/>
    <w:rsid w:val="00845CEC"/>
    <w:rsid w:val="009010CD"/>
    <w:rsid w:val="00905E69"/>
    <w:rsid w:val="00946570"/>
    <w:rsid w:val="00976DF4"/>
    <w:rsid w:val="0099770B"/>
    <w:rsid w:val="009D7B80"/>
    <w:rsid w:val="00A1339B"/>
    <w:rsid w:val="00A73A48"/>
    <w:rsid w:val="00CB7317"/>
    <w:rsid w:val="00CD38BE"/>
    <w:rsid w:val="00D508A1"/>
    <w:rsid w:val="00D76149"/>
    <w:rsid w:val="00E20043"/>
    <w:rsid w:val="00E20467"/>
    <w:rsid w:val="00EC711E"/>
    <w:rsid w:val="00F219CB"/>
    <w:rsid w:val="00F40951"/>
    <w:rsid w:val="00F5522D"/>
    <w:rsid w:val="00F623FE"/>
    <w:rsid w:val="00F94869"/>
    <w:rsid w:val="00FC69D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AE2FE"/>
  <w15:chartTrackingRefBased/>
  <w15:docId w15:val="{8B759BD0-B0F4-4AF7-A12B-331CDDD81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7CD0"/>
    <w:rPr>
      <w:rFonts w:ascii="Aptos" w:eastAsia="Aptos" w:hAnsi="Aptos" w:cs="Aptos"/>
      <w:kern w:val="0"/>
      <w:lang w:eastAsia="pt-BR"/>
      <w14:ligatures w14:val="none"/>
    </w:rPr>
  </w:style>
  <w:style w:type="paragraph" w:styleId="Ttulo1">
    <w:name w:val="heading 1"/>
    <w:basedOn w:val="Normal"/>
    <w:next w:val="Normal"/>
    <w:link w:val="Ttulo1Char"/>
    <w:uiPriority w:val="9"/>
    <w:qFormat/>
    <w:rsid w:val="00437CD0"/>
    <w:pPr>
      <w:keepNext/>
      <w:keepLines/>
      <w:spacing w:before="360" w:after="80"/>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Ttulo2">
    <w:name w:val="heading 2"/>
    <w:basedOn w:val="Normal"/>
    <w:next w:val="Normal"/>
    <w:link w:val="Ttulo2Char"/>
    <w:uiPriority w:val="9"/>
    <w:semiHidden/>
    <w:unhideWhenUsed/>
    <w:qFormat/>
    <w:rsid w:val="00437CD0"/>
    <w:pPr>
      <w:keepNext/>
      <w:keepLines/>
      <w:spacing w:before="160" w:after="80"/>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Ttulo3">
    <w:name w:val="heading 3"/>
    <w:basedOn w:val="Normal"/>
    <w:next w:val="Normal"/>
    <w:link w:val="Ttulo3Char"/>
    <w:uiPriority w:val="9"/>
    <w:semiHidden/>
    <w:unhideWhenUsed/>
    <w:qFormat/>
    <w:rsid w:val="00437CD0"/>
    <w:pPr>
      <w:keepNext/>
      <w:keepLines/>
      <w:spacing w:before="160" w:after="80"/>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Ttulo4">
    <w:name w:val="heading 4"/>
    <w:basedOn w:val="Normal"/>
    <w:next w:val="Normal"/>
    <w:link w:val="Ttulo4Char"/>
    <w:uiPriority w:val="9"/>
    <w:semiHidden/>
    <w:unhideWhenUsed/>
    <w:qFormat/>
    <w:rsid w:val="00437CD0"/>
    <w:pPr>
      <w:keepNext/>
      <w:keepLines/>
      <w:spacing w:before="80" w:after="40"/>
      <w:outlineLvl w:val="3"/>
    </w:pPr>
    <w:rPr>
      <w:rFonts w:asciiTheme="minorHAnsi" w:eastAsiaTheme="majorEastAsia" w:hAnsiTheme="minorHAnsi" w:cstheme="majorBidi"/>
      <w:i/>
      <w:iCs/>
      <w:color w:val="2F5496" w:themeColor="accent1" w:themeShade="BF"/>
      <w:kern w:val="2"/>
      <w:lang w:eastAsia="en-US"/>
      <w14:ligatures w14:val="standardContextual"/>
    </w:rPr>
  </w:style>
  <w:style w:type="paragraph" w:styleId="Ttulo5">
    <w:name w:val="heading 5"/>
    <w:basedOn w:val="Normal"/>
    <w:next w:val="Normal"/>
    <w:link w:val="Ttulo5Char"/>
    <w:uiPriority w:val="9"/>
    <w:semiHidden/>
    <w:unhideWhenUsed/>
    <w:qFormat/>
    <w:rsid w:val="00437CD0"/>
    <w:pPr>
      <w:keepNext/>
      <w:keepLines/>
      <w:spacing w:before="80" w:after="40"/>
      <w:outlineLvl w:val="4"/>
    </w:pPr>
    <w:rPr>
      <w:rFonts w:asciiTheme="minorHAnsi" w:eastAsiaTheme="majorEastAsia" w:hAnsiTheme="minorHAnsi" w:cstheme="majorBidi"/>
      <w:color w:val="2F5496" w:themeColor="accent1" w:themeShade="BF"/>
      <w:kern w:val="2"/>
      <w:lang w:eastAsia="en-US"/>
      <w14:ligatures w14:val="standardContextual"/>
    </w:rPr>
  </w:style>
  <w:style w:type="paragraph" w:styleId="Ttulo6">
    <w:name w:val="heading 6"/>
    <w:basedOn w:val="Normal"/>
    <w:next w:val="Normal"/>
    <w:link w:val="Ttulo6Char"/>
    <w:uiPriority w:val="9"/>
    <w:semiHidden/>
    <w:unhideWhenUsed/>
    <w:qFormat/>
    <w:rsid w:val="00437CD0"/>
    <w:pPr>
      <w:keepNext/>
      <w:keepLines/>
      <w:spacing w:before="40" w:after="0"/>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Ttulo7">
    <w:name w:val="heading 7"/>
    <w:basedOn w:val="Normal"/>
    <w:next w:val="Normal"/>
    <w:link w:val="Ttulo7Char"/>
    <w:uiPriority w:val="9"/>
    <w:semiHidden/>
    <w:unhideWhenUsed/>
    <w:qFormat/>
    <w:rsid w:val="00437CD0"/>
    <w:pPr>
      <w:keepNext/>
      <w:keepLines/>
      <w:spacing w:before="40" w:after="0"/>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tulo8">
    <w:name w:val="heading 8"/>
    <w:basedOn w:val="Normal"/>
    <w:next w:val="Normal"/>
    <w:link w:val="Ttulo8Char"/>
    <w:uiPriority w:val="9"/>
    <w:semiHidden/>
    <w:unhideWhenUsed/>
    <w:qFormat/>
    <w:rsid w:val="00437CD0"/>
    <w:pPr>
      <w:keepNext/>
      <w:keepLines/>
      <w:spacing w:after="0"/>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tulo9">
    <w:name w:val="heading 9"/>
    <w:basedOn w:val="Normal"/>
    <w:next w:val="Normal"/>
    <w:link w:val="Ttulo9Char"/>
    <w:uiPriority w:val="9"/>
    <w:semiHidden/>
    <w:unhideWhenUsed/>
    <w:qFormat/>
    <w:rsid w:val="00437CD0"/>
    <w:pPr>
      <w:keepNext/>
      <w:keepLines/>
      <w:spacing w:after="0"/>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37CD0"/>
    <w:rPr>
      <w:rFonts w:asciiTheme="majorHAnsi" w:eastAsiaTheme="majorEastAsia" w:hAnsiTheme="majorHAnsi" w:cstheme="majorBidi"/>
      <w:color w:val="2F5496" w:themeColor="accent1" w:themeShade="BF"/>
      <w:sz w:val="40"/>
      <w:szCs w:val="40"/>
    </w:rPr>
  </w:style>
  <w:style w:type="character" w:customStyle="1" w:styleId="Ttulo2Char">
    <w:name w:val="Título 2 Char"/>
    <w:basedOn w:val="Fontepargpadro"/>
    <w:link w:val="Ttulo2"/>
    <w:uiPriority w:val="9"/>
    <w:semiHidden/>
    <w:rsid w:val="00437CD0"/>
    <w:rPr>
      <w:rFonts w:asciiTheme="majorHAnsi" w:eastAsiaTheme="majorEastAsia" w:hAnsiTheme="majorHAnsi" w:cstheme="majorBidi"/>
      <w:color w:val="2F5496" w:themeColor="accent1" w:themeShade="BF"/>
      <w:sz w:val="32"/>
      <w:szCs w:val="32"/>
    </w:rPr>
  </w:style>
  <w:style w:type="character" w:customStyle="1" w:styleId="Ttulo3Char">
    <w:name w:val="Título 3 Char"/>
    <w:basedOn w:val="Fontepargpadro"/>
    <w:link w:val="Ttulo3"/>
    <w:uiPriority w:val="9"/>
    <w:semiHidden/>
    <w:rsid w:val="00437CD0"/>
    <w:rPr>
      <w:rFonts w:eastAsiaTheme="majorEastAsia" w:cstheme="majorBidi"/>
      <w:color w:val="2F5496" w:themeColor="accent1" w:themeShade="BF"/>
      <w:sz w:val="28"/>
      <w:szCs w:val="28"/>
    </w:rPr>
  </w:style>
  <w:style w:type="character" w:customStyle="1" w:styleId="Ttulo4Char">
    <w:name w:val="Título 4 Char"/>
    <w:basedOn w:val="Fontepargpadro"/>
    <w:link w:val="Ttulo4"/>
    <w:uiPriority w:val="9"/>
    <w:semiHidden/>
    <w:rsid w:val="00437CD0"/>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437CD0"/>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437CD0"/>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437CD0"/>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437CD0"/>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437CD0"/>
    <w:rPr>
      <w:rFonts w:eastAsiaTheme="majorEastAsia" w:cstheme="majorBidi"/>
      <w:color w:val="272727" w:themeColor="text1" w:themeTint="D8"/>
    </w:rPr>
  </w:style>
  <w:style w:type="paragraph" w:styleId="Ttulo">
    <w:name w:val="Title"/>
    <w:basedOn w:val="Normal"/>
    <w:next w:val="Normal"/>
    <w:link w:val="TtuloChar"/>
    <w:uiPriority w:val="10"/>
    <w:qFormat/>
    <w:rsid w:val="00437CD0"/>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har">
    <w:name w:val="Título Char"/>
    <w:basedOn w:val="Fontepargpadro"/>
    <w:link w:val="Ttulo"/>
    <w:uiPriority w:val="10"/>
    <w:rsid w:val="00437CD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437CD0"/>
    <w:pPr>
      <w:numPr>
        <w:ilvl w:val="1"/>
      </w:numPr>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har">
    <w:name w:val="Subtítulo Char"/>
    <w:basedOn w:val="Fontepargpadro"/>
    <w:link w:val="Subttulo"/>
    <w:uiPriority w:val="11"/>
    <w:rsid w:val="00437CD0"/>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437CD0"/>
    <w:pPr>
      <w:spacing w:before="160"/>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oChar">
    <w:name w:val="Citação Char"/>
    <w:basedOn w:val="Fontepargpadro"/>
    <w:link w:val="Citao"/>
    <w:uiPriority w:val="29"/>
    <w:rsid w:val="00437CD0"/>
    <w:rPr>
      <w:i/>
      <w:iCs/>
      <w:color w:val="404040" w:themeColor="text1" w:themeTint="BF"/>
    </w:rPr>
  </w:style>
  <w:style w:type="paragraph" w:styleId="PargrafodaLista">
    <w:name w:val="List Paragraph"/>
    <w:basedOn w:val="Normal"/>
    <w:uiPriority w:val="34"/>
    <w:qFormat/>
    <w:rsid w:val="00437CD0"/>
    <w:pPr>
      <w:ind w:left="720"/>
      <w:contextualSpacing/>
    </w:pPr>
    <w:rPr>
      <w:rFonts w:asciiTheme="minorHAnsi" w:eastAsiaTheme="minorHAnsi" w:hAnsiTheme="minorHAnsi" w:cstheme="minorBidi"/>
      <w:kern w:val="2"/>
      <w:lang w:eastAsia="en-US"/>
      <w14:ligatures w14:val="standardContextual"/>
    </w:rPr>
  </w:style>
  <w:style w:type="character" w:styleId="nfaseIntensa">
    <w:name w:val="Intense Emphasis"/>
    <w:basedOn w:val="Fontepargpadro"/>
    <w:uiPriority w:val="21"/>
    <w:qFormat/>
    <w:rsid w:val="00437CD0"/>
    <w:rPr>
      <w:i/>
      <w:iCs/>
      <w:color w:val="2F5496" w:themeColor="accent1" w:themeShade="BF"/>
    </w:rPr>
  </w:style>
  <w:style w:type="paragraph" w:styleId="CitaoIntensa">
    <w:name w:val="Intense Quote"/>
    <w:basedOn w:val="Normal"/>
    <w:next w:val="Normal"/>
    <w:link w:val="CitaoIntensaChar"/>
    <w:uiPriority w:val="30"/>
    <w:qFormat/>
    <w:rsid w:val="00437CD0"/>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CitaoIntensaChar">
    <w:name w:val="Citação Intensa Char"/>
    <w:basedOn w:val="Fontepargpadro"/>
    <w:link w:val="CitaoIntensa"/>
    <w:uiPriority w:val="30"/>
    <w:rsid w:val="00437CD0"/>
    <w:rPr>
      <w:i/>
      <w:iCs/>
      <w:color w:val="2F5496" w:themeColor="accent1" w:themeShade="BF"/>
    </w:rPr>
  </w:style>
  <w:style w:type="character" w:styleId="RefernciaIntensa">
    <w:name w:val="Intense Reference"/>
    <w:basedOn w:val="Fontepargpadro"/>
    <w:uiPriority w:val="32"/>
    <w:qFormat/>
    <w:rsid w:val="00437CD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273caf7-13b7-4a89-b44a-3967d45ba0a9}" enabled="0" method="" siteId="{1273caf7-13b7-4a89-b44a-3967d45ba0a9}" removed="1"/>
</clbl:labelList>
</file>

<file path=docProps/app.xml><?xml version="1.0" encoding="utf-8"?>
<Properties xmlns="http://schemas.openxmlformats.org/officeDocument/2006/extended-properties" xmlns:vt="http://schemas.openxmlformats.org/officeDocument/2006/docPropsVTypes">
  <Template>Normal.dotm</Template>
  <TotalTime>40</TotalTime>
  <Pages>1</Pages>
  <Words>488</Words>
  <Characters>2786</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CPGA UFRJ</dc:creator>
  <cp:keywords/>
  <dc:description/>
  <cp:lastModifiedBy>Oliveira, Thiago - Araxa, MG</cp:lastModifiedBy>
  <cp:revision>3</cp:revision>
  <dcterms:created xsi:type="dcterms:W3CDTF">2025-10-10T15:57:00Z</dcterms:created>
  <dcterms:modified xsi:type="dcterms:W3CDTF">2025-10-10T16:37:00Z</dcterms:modified>
</cp:coreProperties>
</file>